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877" w:rsidRDefault="009B2877">
      <w:pPr>
        <w:pStyle w:val="Untertitel"/>
        <w:rPr>
          <w:sz w:val="20"/>
        </w:rPr>
      </w:pPr>
    </w:p>
    <w:p w:rsidR="008660D2" w:rsidRDefault="008660D2">
      <w:pPr>
        <w:pStyle w:val="Untertitel"/>
        <w:rPr>
          <w:sz w:val="20"/>
        </w:rPr>
      </w:pPr>
    </w:p>
    <w:p w:rsidR="008660D2" w:rsidRDefault="008660D2">
      <w:pPr>
        <w:pStyle w:val="Untertitel"/>
        <w:rPr>
          <w:sz w:val="20"/>
        </w:rPr>
      </w:pPr>
    </w:p>
    <w:p w:rsidR="00662C89" w:rsidRDefault="00662C89">
      <w:pPr>
        <w:pStyle w:val="Untertitel"/>
        <w:rPr>
          <w:sz w:val="20"/>
        </w:rPr>
      </w:pPr>
      <w:r>
        <w:rPr>
          <w:sz w:val="20"/>
        </w:rPr>
        <w:t>Allgemeine Tarife / Grund- und Ersatzversorgung</w:t>
      </w:r>
    </w:p>
    <w:p w:rsidR="00662C89" w:rsidRDefault="00662C89">
      <w:pPr>
        <w:rPr>
          <w:rFonts w:ascii="Arial" w:hAnsi="Arial" w:cs="Arial"/>
          <w:sz w:val="20"/>
        </w:rPr>
      </w:pPr>
    </w:p>
    <w:p w:rsidR="00662C89" w:rsidRDefault="00662C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 Grund- und Ersatzversorgung in Niederdruck bieten wir ab dem 01.</w:t>
      </w:r>
      <w:r w:rsidR="00397DB3">
        <w:rPr>
          <w:rFonts w:ascii="Arial" w:hAnsi="Arial" w:cs="Arial"/>
          <w:sz w:val="20"/>
        </w:rPr>
        <w:t>07.201</w:t>
      </w:r>
      <w:r w:rsidR="008660D2">
        <w:rPr>
          <w:rFonts w:ascii="Arial" w:hAnsi="Arial" w:cs="Arial"/>
          <w:sz w:val="20"/>
        </w:rPr>
        <w:t>7</w:t>
      </w:r>
      <w:r>
        <w:rPr>
          <w:rFonts w:ascii="Arial" w:hAnsi="Arial" w:cs="Arial"/>
          <w:sz w:val="20"/>
        </w:rPr>
        <w:t xml:space="preserve"> zu nachfolgenden Preisen und den Bedingungen der </w:t>
      </w:r>
      <w:proofErr w:type="spellStart"/>
      <w:r>
        <w:rPr>
          <w:rFonts w:ascii="Arial" w:hAnsi="Arial" w:cs="Arial"/>
          <w:sz w:val="20"/>
        </w:rPr>
        <w:t>GasGVV</w:t>
      </w:r>
      <w:proofErr w:type="spellEnd"/>
      <w:r>
        <w:rPr>
          <w:rFonts w:ascii="Arial" w:hAnsi="Arial" w:cs="Arial"/>
          <w:sz w:val="20"/>
        </w:rPr>
        <w:t xml:space="preserve"> an. Sie entsprechen den Preisregelungen der Allgemeinen Tarife und Bedingungen für die Belieferung von Tarifkunden mit Erdgas.</w:t>
      </w:r>
    </w:p>
    <w:p w:rsidR="00662C89" w:rsidRDefault="00662C89">
      <w:pPr>
        <w:rPr>
          <w:rFonts w:ascii="Arial" w:hAnsi="Arial" w:cs="Arial"/>
          <w:sz w:val="20"/>
        </w:rPr>
      </w:pPr>
    </w:p>
    <w:p w:rsidR="00662C89" w:rsidRDefault="00662C89">
      <w:pPr>
        <w:rPr>
          <w:rFonts w:ascii="Arial" w:hAnsi="Arial" w:cs="Arial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590"/>
        <w:gridCol w:w="2160"/>
        <w:gridCol w:w="2340"/>
        <w:gridCol w:w="1620"/>
      </w:tblGrid>
      <w:tr w:rsidR="00662C89">
        <w:tc>
          <w:tcPr>
            <w:tcW w:w="2590" w:type="dxa"/>
          </w:tcPr>
          <w:p w:rsidR="00662C89" w:rsidRDefault="00662C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Tarif</w:t>
            </w:r>
          </w:p>
          <w:p w:rsidR="00662C89" w:rsidRDefault="00662C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Grund- und Ersatzversorgung</w:t>
            </w:r>
          </w:p>
        </w:tc>
        <w:tc>
          <w:tcPr>
            <w:tcW w:w="2160" w:type="dxa"/>
          </w:tcPr>
          <w:p w:rsidR="00662C89" w:rsidRDefault="00662C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Verbrauch</w:t>
            </w:r>
          </w:p>
          <w:p w:rsidR="00662C89" w:rsidRDefault="00662C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kWh/Jahr</w:t>
            </w:r>
          </w:p>
        </w:tc>
        <w:tc>
          <w:tcPr>
            <w:tcW w:w="2340" w:type="dxa"/>
          </w:tcPr>
          <w:p w:rsidR="00662C89" w:rsidRDefault="00662C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Arbeitspreis</w:t>
            </w:r>
          </w:p>
          <w:p w:rsidR="00662C89" w:rsidRDefault="004773E8" w:rsidP="004773E8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ct</w:t>
            </w:r>
            <w:proofErr w:type="spellEnd"/>
            <w:r w:rsidR="00662C89">
              <w:rPr>
                <w:rFonts w:ascii="Arial" w:hAnsi="Arial" w:cs="Arial"/>
                <w:sz w:val="20"/>
              </w:rPr>
              <w:t>/</w:t>
            </w:r>
            <w:proofErr w:type="spellStart"/>
            <w:r w:rsidR="00662C89">
              <w:rPr>
                <w:rFonts w:ascii="Arial" w:hAnsi="Arial" w:cs="Arial"/>
                <w:sz w:val="20"/>
              </w:rPr>
              <w:t>kWh</w:t>
            </w:r>
            <w:proofErr w:type="spellEnd"/>
          </w:p>
        </w:tc>
        <w:tc>
          <w:tcPr>
            <w:tcW w:w="1620" w:type="dxa"/>
          </w:tcPr>
          <w:p w:rsidR="00662C89" w:rsidRDefault="00662C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Grundpreis</w:t>
            </w:r>
          </w:p>
          <w:p w:rsidR="00662C89" w:rsidRDefault="00662C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EUR/Jahr</w:t>
            </w:r>
          </w:p>
        </w:tc>
      </w:tr>
      <w:tr w:rsidR="00662C89">
        <w:tc>
          <w:tcPr>
            <w:tcW w:w="2590" w:type="dxa"/>
          </w:tcPr>
          <w:p w:rsidR="00662C89" w:rsidRDefault="00662C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662C89" w:rsidRDefault="00662C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</w:tcPr>
          <w:p w:rsidR="00662C89" w:rsidRDefault="00662C89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</w:tcPr>
          <w:p w:rsidR="00662C89" w:rsidRDefault="00662C89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62C89">
        <w:tc>
          <w:tcPr>
            <w:tcW w:w="2590" w:type="dxa"/>
          </w:tcPr>
          <w:p w:rsidR="00662C89" w:rsidRDefault="00662C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Tarif K 70</w:t>
            </w:r>
          </w:p>
        </w:tc>
        <w:tc>
          <w:tcPr>
            <w:tcW w:w="2160" w:type="dxa"/>
          </w:tcPr>
          <w:p w:rsidR="00662C89" w:rsidRDefault="00662C8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bis 3.190</w:t>
            </w:r>
          </w:p>
        </w:tc>
        <w:tc>
          <w:tcPr>
            <w:tcW w:w="2340" w:type="dxa"/>
          </w:tcPr>
          <w:p w:rsidR="00662C89" w:rsidRDefault="004773E8" w:rsidP="008660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5,</w:t>
            </w:r>
            <w:r w:rsidR="008660D2">
              <w:rPr>
                <w:rFonts w:ascii="Arial" w:hAnsi="Arial" w:cs="Arial"/>
                <w:sz w:val="20"/>
              </w:rPr>
              <w:t>08</w:t>
            </w:r>
            <w:r w:rsidR="00662C89">
              <w:rPr>
                <w:rFonts w:ascii="Arial" w:hAnsi="Arial" w:cs="Arial"/>
                <w:sz w:val="20"/>
              </w:rPr>
              <w:t xml:space="preserve"> (</w:t>
            </w:r>
            <w:r w:rsidR="00397DB3">
              <w:rPr>
                <w:rFonts w:ascii="Arial" w:hAnsi="Arial" w:cs="Arial"/>
                <w:sz w:val="20"/>
              </w:rPr>
              <w:t>6,</w:t>
            </w:r>
            <w:r w:rsidR="008660D2">
              <w:rPr>
                <w:rFonts w:ascii="Arial" w:hAnsi="Arial" w:cs="Arial"/>
                <w:sz w:val="20"/>
              </w:rPr>
              <w:t>05</w:t>
            </w:r>
            <w:r w:rsidR="00662C8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620" w:type="dxa"/>
          </w:tcPr>
          <w:p w:rsidR="00662C89" w:rsidRDefault="00662C8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36,00   (42,84)</w:t>
            </w:r>
          </w:p>
        </w:tc>
      </w:tr>
      <w:tr w:rsidR="00662C89">
        <w:tc>
          <w:tcPr>
            <w:tcW w:w="2590" w:type="dxa"/>
          </w:tcPr>
          <w:p w:rsidR="00662C89" w:rsidRDefault="00662C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Tarif G 46</w:t>
            </w:r>
          </w:p>
        </w:tc>
        <w:tc>
          <w:tcPr>
            <w:tcW w:w="2160" w:type="dxa"/>
          </w:tcPr>
          <w:p w:rsidR="00662C89" w:rsidRDefault="00662C89">
            <w:pPr>
              <w:jc w:val="right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3.191 – 24.480</w:t>
            </w:r>
          </w:p>
        </w:tc>
        <w:tc>
          <w:tcPr>
            <w:tcW w:w="2340" w:type="dxa"/>
          </w:tcPr>
          <w:p w:rsidR="00662C89" w:rsidRDefault="00397DB3" w:rsidP="008660D2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4,</w:t>
            </w:r>
            <w:r w:rsidR="008660D2">
              <w:rPr>
                <w:rFonts w:ascii="Arial" w:hAnsi="Arial" w:cs="Arial"/>
                <w:sz w:val="20"/>
                <w:lang w:val="it-IT"/>
              </w:rPr>
              <w:t>29</w:t>
            </w:r>
            <w:r w:rsidR="00662C89">
              <w:rPr>
                <w:rFonts w:ascii="Arial" w:hAnsi="Arial" w:cs="Arial"/>
                <w:sz w:val="20"/>
                <w:lang w:val="it-IT"/>
              </w:rPr>
              <w:t xml:space="preserve"> (</w:t>
            </w:r>
            <w:r>
              <w:rPr>
                <w:rFonts w:ascii="Arial" w:hAnsi="Arial" w:cs="Arial"/>
                <w:sz w:val="20"/>
                <w:lang w:val="it-IT"/>
              </w:rPr>
              <w:t>5,</w:t>
            </w:r>
            <w:r w:rsidR="008660D2">
              <w:rPr>
                <w:rFonts w:ascii="Arial" w:hAnsi="Arial" w:cs="Arial"/>
                <w:sz w:val="20"/>
                <w:lang w:val="it-IT"/>
              </w:rPr>
              <w:t>11</w:t>
            </w:r>
            <w:r w:rsidR="00662C89">
              <w:rPr>
                <w:rFonts w:ascii="Arial" w:hAnsi="Arial" w:cs="Arial"/>
                <w:sz w:val="20"/>
                <w:lang w:val="it-IT"/>
              </w:rPr>
              <w:t>)</w:t>
            </w:r>
          </w:p>
        </w:tc>
        <w:tc>
          <w:tcPr>
            <w:tcW w:w="1620" w:type="dxa"/>
          </w:tcPr>
          <w:p w:rsidR="00662C89" w:rsidRDefault="00662C89">
            <w:pPr>
              <w:jc w:val="right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61,20</w:t>
            </w:r>
            <w:proofErr w:type="gramStart"/>
            <w:r>
              <w:rPr>
                <w:rFonts w:ascii="Arial" w:hAnsi="Arial" w:cs="Arial"/>
                <w:sz w:val="20"/>
                <w:lang w:val="it-IT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0"/>
                <w:lang w:val="it-IT"/>
              </w:rPr>
              <w:t>(72,83)</w:t>
            </w:r>
          </w:p>
        </w:tc>
      </w:tr>
      <w:tr w:rsidR="00662C89">
        <w:tc>
          <w:tcPr>
            <w:tcW w:w="2590" w:type="dxa"/>
          </w:tcPr>
          <w:p w:rsidR="00662C89" w:rsidRDefault="00662C89">
            <w:pPr>
              <w:rPr>
                <w:rFonts w:ascii="Arial" w:hAnsi="Arial" w:cs="Arial"/>
                <w:sz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lang w:val="it-IT"/>
              </w:rPr>
              <w:t>Sondertarif</w:t>
            </w:r>
            <w:proofErr w:type="spellEnd"/>
            <w:r>
              <w:rPr>
                <w:rFonts w:ascii="Arial" w:hAnsi="Arial" w:cs="Arial"/>
                <w:sz w:val="20"/>
                <w:lang w:val="it-IT"/>
              </w:rPr>
              <w:t xml:space="preserve"> I</w:t>
            </w:r>
          </w:p>
        </w:tc>
        <w:tc>
          <w:tcPr>
            <w:tcW w:w="2160" w:type="dxa"/>
          </w:tcPr>
          <w:p w:rsidR="00662C89" w:rsidRDefault="00662C89">
            <w:pPr>
              <w:jc w:val="right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24.481 – 40.800</w:t>
            </w:r>
          </w:p>
        </w:tc>
        <w:tc>
          <w:tcPr>
            <w:tcW w:w="2340" w:type="dxa"/>
          </w:tcPr>
          <w:p w:rsidR="00662C89" w:rsidRDefault="004773E8" w:rsidP="008660D2">
            <w:pPr>
              <w:jc w:val="center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4,</w:t>
            </w:r>
            <w:r w:rsidR="008660D2">
              <w:rPr>
                <w:rFonts w:ascii="Arial" w:hAnsi="Arial" w:cs="Arial"/>
                <w:sz w:val="20"/>
                <w:lang w:val="it-IT"/>
              </w:rPr>
              <w:t>04</w:t>
            </w:r>
            <w:r w:rsidR="00662C89">
              <w:rPr>
                <w:rFonts w:ascii="Arial" w:hAnsi="Arial" w:cs="Arial"/>
                <w:sz w:val="20"/>
                <w:lang w:val="it-IT"/>
              </w:rPr>
              <w:t xml:space="preserve"> (</w:t>
            </w:r>
            <w:r w:rsidR="008660D2">
              <w:rPr>
                <w:rFonts w:ascii="Arial" w:hAnsi="Arial" w:cs="Arial"/>
                <w:sz w:val="20"/>
                <w:lang w:val="it-IT"/>
              </w:rPr>
              <w:t>4,81</w:t>
            </w:r>
            <w:r w:rsidR="00662C89">
              <w:rPr>
                <w:rFonts w:ascii="Arial" w:hAnsi="Arial" w:cs="Arial"/>
                <w:sz w:val="20"/>
                <w:lang w:val="it-IT"/>
              </w:rPr>
              <w:t>)</w:t>
            </w:r>
          </w:p>
        </w:tc>
        <w:tc>
          <w:tcPr>
            <w:tcW w:w="1620" w:type="dxa"/>
          </w:tcPr>
          <w:p w:rsidR="00662C89" w:rsidRDefault="00662C89">
            <w:pPr>
              <w:jc w:val="right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>122,40 (145,66)</w:t>
            </w:r>
          </w:p>
        </w:tc>
      </w:tr>
      <w:tr w:rsidR="00662C89">
        <w:tc>
          <w:tcPr>
            <w:tcW w:w="2590" w:type="dxa"/>
          </w:tcPr>
          <w:p w:rsidR="00662C89" w:rsidRDefault="00662C89">
            <w:pPr>
              <w:rPr>
                <w:rFonts w:ascii="Arial" w:hAnsi="Arial" w:cs="Arial"/>
                <w:sz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lang w:val="it-IT"/>
              </w:rPr>
              <w:t>Sondertarif</w:t>
            </w:r>
            <w:proofErr w:type="spellEnd"/>
            <w:r>
              <w:rPr>
                <w:rFonts w:ascii="Arial" w:hAnsi="Arial" w:cs="Arial"/>
                <w:sz w:val="20"/>
                <w:lang w:val="it-IT"/>
              </w:rPr>
              <w:t xml:space="preserve"> II *¹</w:t>
            </w:r>
          </w:p>
        </w:tc>
        <w:tc>
          <w:tcPr>
            <w:tcW w:w="2160" w:type="dxa"/>
          </w:tcPr>
          <w:p w:rsidR="00662C89" w:rsidRDefault="00662C8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 40.801</w:t>
            </w:r>
          </w:p>
        </w:tc>
        <w:tc>
          <w:tcPr>
            <w:tcW w:w="2340" w:type="dxa"/>
          </w:tcPr>
          <w:p w:rsidR="00662C89" w:rsidRDefault="00397DB3" w:rsidP="008660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</w:t>
            </w:r>
            <w:r w:rsidR="008660D2">
              <w:rPr>
                <w:rFonts w:ascii="Arial" w:hAnsi="Arial" w:cs="Arial"/>
                <w:sz w:val="20"/>
              </w:rPr>
              <w:t>34</w:t>
            </w:r>
            <w:r w:rsidR="00662C89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5,</w:t>
            </w:r>
            <w:r w:rsidR="008660D2">
              <w:rPr>
                <w:rFonts w:ascii="Arial" w:hAnsi="Arial" w:cs="Arial"/>
                <w:sz w:val="20"/>
              </w:rPr>
              <w:t>16</w:t>
            </w:r>
            <w:r w:rsidR="00662C8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620" w:type="dxa"/>
          </w:tcPr>
          <w:p w:rsidR="00662C89" w:rsidRDefault="00662C89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662C89">
        <w:tc>
          <w:tcPr>
            <w:tcW w:w="2590" w:type="dxa"/>
          </w:tcPr>
          <w:p w:rsidR="00662C89" w:rsidRDefault="00662C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Sondertarif III *²</w:t>
            </w:r>
          </w:p>
        </w:tc>
        <w:tc>
          <w:tcPr>
            <w:tcW w:w="2160" w:type="dxa"/>
          </w:tcPr>
          <w:p w:rsidR="00662C89" w:rsidRDefault="00662C8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10.001 – 24.480</w:t>
            </w:r>
          </w:p>
        </w:tc>
        <w:tc>
          <w:tcPr>
            <w:tcW w:w="2340" w:type="dxa"/>
          </w:tcPr>
          <w:p w:rsidR="00662C89" w:rsidRDefault="00397DB3" w:rsidP="008660D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</w:t>
            </w:r>
            <w:r w:rsidR="008660D2">
              <w:rPr>
                <w:rFonts w:ascii="Arial" w:hAnsi="Arial" w:cs="Arial"/>
                <w:sz w:val="20"/>
              </w:rPr>
              <w:t>29</w:t>
            </w:r>
            <w:r w:rsidR="00662C89">
              <w:rPr>
                <w:rFonts w:ascii="Arial" w:hAnsi="Arial" w:cs="Arial"/>
                <w:sz w:val="20"/>
              </w:rPr>
              <w:t xml:space="preserve"> (</w:t>
            </w:r>
            <w:r w:rsidR="00EF7B32">
              <w:rPr>
                <w:rFonts w:ascii="Arial" w:hAnsi="Arial" w:cs="Arial"/>
                <w:sz w:val="20"/>
              </w:rPr>
              <w:t>5,</w:t>
            </w:r>
            <w:r w:rsidR="008660D2">
              <w:rPr>
                <w:rFonts w:ascii="Arial" w:hAnsi="Arial" w:cs="Arial"/>
                <w:sz w:val="20"/>
              </w:rPr>
              <w:t>11</w:t>
            </w:r>
            <w:r w:rsidR="00662C89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620" w:type="dxa"/>
          </w:tcPr>
          <w:p w:rsidR="00662C89" w:rsidRDefault="00662C89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61,20   (72,83)</w:t>
            </w:r>
          </w:p>
        </w:tc>
      </w:tr>
    </w:tbl>
    <w:p w:rsidR="00662C89" w:rsidRDefault="00662C89">
      <w:pPr>
        <w:rPr>
          <w:rFonts w:ascii="Arial" w:hAnsi="Arial" w:cs="Arial"/>
          <w:sz w:val="20"/>
        </w:rPr>
      </w:pPr>
    </w:p>
    <w:p w:rsidR="00662C89" w:rsidRDefault="00662C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*¹ Der Tarif wird zu dem Durchschnittspreis abgerechnet, wenn der sich aus Grund- und Arbeitspreis ergebende Preis diesen Durchschnittspreis unterschreitet.</w:t>
      </w:r>
    </w:p>
    <w:p w:rsidR="00662C89" w:rsidRDefault="00662C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*² Dieser Tarif gilt nur für bestehende Verträge im Bereich der Gasversorgung </w:t>
      </w:r>
      <w:proofErr w:type="spellStart"/>
      <w:r>
        <w:rPr>
          <w:rFonts w:ascii="Arial" w:hAnsi="Arial" w:cs="Arial"/>
          <w:sz w:val="20"/>
        </w:rPr>
        <w:t>Exter</w:t>
      </w:r>
      <w:proofErr w:type="spellEnd"/>
      <w:r>
        <w:rPr>
          <w:rFonts w:ascii="Arial" w:hAnsi="Arial" w:cs="Arial"/>
          <w:sz w:val="20"/>
        </w:rPr>
        <w:t>, die durch die Stadtwerke Vlotho GmbH ab dem 01.01.2005 von der RWE Westfalen-Weser-Ems AG übernommen worden ist.</w:t>
      </w:r>
    </w:p>
    <w:p w:rsidR="00662C89" w:rsidRDefault="00662C89">
      <w:pPr>
        <w:rPr>
          <w:rFonts w:ascii="Arial" w:hAnsi="Arial" w:cs="Arial"/>
          <w:sz w:val="20"/>
        </w:rPr>
      </w:pPr>
    </w:p>
    <w:p w:rsidR="00662C89" w:rsidRDefault="00662C89">
      <w:pPr>
        <w:rPr>
          <w:rFonts w:ascii="Arial" w:hAnsi="Arial" w:cs="Arial"/>
          <w:sz w:val="20"/>
        </w:rPr>
      </w:pPr>
    </w:p>
    <w:p w:rsidR="00662C89" w:rsidRDefault="00662C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Hinweise:</w:t>
      </w:r>
    </w:p>
    <w:p w:rsidR="00662C89" w:rsidRDefault="00662C89">
      <w:pPr>
        <w:rPr>
          <w:rFonts w:ascii="Arial" w:hAnsi="Arial" w:cs="Arial"/>
          <w:sz w:val="20"/>
        </w:rPr>
      </w:pPr>
    </w:p>
    <w:p w:rsidR="00662C89" w:rsidRDefault="00662C89">
      <w:pPr>
        <w:ind w:left="705" w:hanging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  <w:t>Für die Einräumung der Sonderpreise ist es erforderlich, dass ein rechtswirksam unterzeichneter Gaslieferungsvertrag für Sonderkunden vorliegt.</w:t>
      </w:r>
    </w:p>
    <w:p w:rsidR="00662C89" w:rsidRDefault="00662C89">
      <w:pPr>
        <w:ind w:left="705" w:hanging="705"/>
        <w:rPr>
          <w:rFonts w:ascii="Arial" w:hAnsi="Arial" w:cs="Arial"/>
          <w:sz w:val="20"/>
        </w:rPr>
      </w:pPr>
    </w:p>
    <w:p w:rsidR="00662C89" w:rsidRDefault="00662C89">
      <w:pPr>
        <w:ind w:left="705" w:hanging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>
        <w:rPr>
          <w:rFonts w:ascii="Arial" w:hAnsi="Arial" w:cs="Arial"/>
          <w:sz w:val="20"/>
        </w:rPr>
        <w:tab/>
        <w:t>Die in Klammern ausgewiesenen Bruttopreise beinhalten die  gültige gesetzliche Umsatzsteuer.</w:t>
      </w:r>
    </w:p>
    <w:p w:rsidR="00662C89" w:rsidRDefault="00662C89">
      <w:pPr>
        <w:ind w:left="705" w:hanging="705"/>
        <w:rPr>
          <w:rFonts w:ascii="Arial" w:hAnsi="Arial" w:cs="Arial"/>
          <w:sz w:val="20"/>
        </w:rPr>
      </w:pPr>
    </w:p>
    <w:p w:rsidR="00662C89" w:rsidRDefault="00662C89">
      <w:pPr>
        <w:ind w:left="705" w:hanging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>
        <w:rPr>
          <w:rFonts w:ascii="Arial" w:hAnsi="Arial" w:cs="Arial"/>
          <w:sz w:val="20"/>
        </w:rPr>
        <w:tab/>
        <w:t>Die Tarife beinhalten die gesetzliche Konzessionsabgabe.</w:t>
      </w:r>
    </w:p>
    <w:p w:rsidR="00662C89" w:rsidRDefault="00662C89">
      <w:pPr>
        <w:ind w:left="705" w:hanging="705"/>
        <w:rPr>
          <w:rFonts w:ascii="Arial" w:hAnsi="Arial" w:cs="Arial"/>
          <w:sz w:val="20"/>
        </w:rPr>
      </w:pPr>
    </w:p>
    <w:p w:rsidR="00662C89" w:rsidRDefault="00662C89">
      <w:pPr>
        <w:ind w:left="705" w:hanging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</w:t>
      </w:r>
      <w:r>
        <w:rPr>
          <w:rFonts w:ascii="Arial" w:hAnsi="Arial" w:cs="Arial"/>
          <w:sz w:val="20"/>
        </w:rPr>
        <w:tab/>
        <w:t xml:space="preserve">Die Arbeitspreise für Erdgas beinhalten die seit dem 1. Januar 2003 gültige gesetzliche Erdgassteuer von 0,55 (0,64) </w:t>
      </w:r>
      <w:proofErr w:type="spellStart"/>
      <w:r w:rsidR="004773E8">
        <w:rPr>
          <w:rFonts w:ascii="Arial" w:hAnsi="Arial" w:cs="Arial"/>
          <w:sz w:val="20"/>
        </w:rPr>
        <w:t>ct</w:t>
      </w:r>
      <w:proofErr w:type="spellEnd"/>
      <w:r>
        <w:rPr>
          <w:rFonts w:ascii="Arial" w:hAnsi="Arial" w:cs="Arial"/>
          <w:sz w:val="20"/>
        </w:rPr>
        <w:t>/</w:t>
      </w:r>
      <w:proofErr w:type="spellStart"/>
      <w:r>
        <w:rPr>
          <w:rFonts w:ascii="Arial" w:hAnsi="Arial" w:cs="Arial"/>
          <w:sz w:val="20"/>
        </w:rPr>
        <w:t>kWh</w:t>
      </w:r>
      <w:proofErr w:type="spellEnd"/>
      <w:r>
        <w:rPr>
          <w:rFonts w:ascii="Arial" w:hAnsi="Arial" w:cs="Arial"/>
          <w:sz w:val="20"/>
        </w:rPr>
        <w:t>.</w:t>
      </w:r>
    </w:p>
    <w:p w:rsidR="00662C89" w:rsidRDefault="00662C89">
      <w:pPr>
        <w:ind w:left="705" w:hanging="705"/>
        <w:rPr>
          <w:rFonts w:ascii="Arial" w:hAnsi="Arial" w:cs="Arial"/>
          <w:sz w:val="20"/>
        </w:rPr>
      </w:pPr>
    </w:p>
    <w:p w:rsidR="00662C89" w:rsidRDefault="00662C89">
      <w:pPr>
        <w:ind w:left="705" w:hanging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>
        <w:rPr>
          <w:rFonts w:ascii="Arial" w:hAnsi="Arial" w:cs="Arial"/>
          <w:sz w:val="20"/>
        </w:rPr>
        <w:tab/>
        <w:t xml:space="preserve">Die Stadtwerke Vlotho GmbH stellt das Gas mit einem Brennwert von ca. Ho 10 kWh/m³ mit den nach den anerkannten Regeln der Technik zuständigen Schwankungsbreiten sowie einem Ruhedruck von p = ca. 20 </w:t>
      </w:r>
      <w:proofErr w:type="spellStart"/>
      <w:r>
        <w:rPr>
          <w:rFonts w:ascii="Arial" w:hAnsi="Arial" w:cs="Arial"/>
          <w:sz w:val="20"/>
        </w:rPr>
        <w:t>mbar</w:t>
      </w:r>
      <w:proofErr w:type="spellEnd"/>
      <w:r>
        <w:rPr>
          <w:rFonts w:ascii="Arial" w:hAnsi="Arial" w:cs="Arial"/>
          <w:sz w:val="20"/>
        </w:rPr>
        <w:t xml:space="preserve"> zur Verfügung.</w:t>
      </w:r>
    </w:p>
    <w:p w:rsidR="00662C89" w:rsidRDefault="00662C89">
      <w:pPr>
        <w:ind w:left="705" w:hanging="705"/>
        <w:rPr>
          <w:rFonts w:ascii="Arial" w:hAnsi="Arial" w:cs="Arial"/>
          <w:sz w:val="20"/>
        </w:rPr>
      </w:pPr>
    </w:p>
    <w:p w:rsidR="00662C89" w:rsidRDefault="00662C89">
      <w:pPr>
        <w:ind w:left="705" w:hanging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>
        <w:rPr>
          <w:rFonts w:ascii="Arial" w:hAnsi="Arial" w:cs="Arial"/>
          <w:sz w:val="20"/>
        </w:rPr>
        <w:tab/>
        <w:t>Am 01.08.2006 wurde das Mineralölsteuergesetz durch das Energiesteuergesetz abgelöst.</w:t>
      </w:r>
    </w:p>
    <w:p w:rsidR="00662C89" w:rsidRDefault="00662C89">
      <w:pPr>
        <w:ind w:left="705" w:hanging="705"/>
        <w:rPr>
          <w:rFonts w:ascii="Arial" w:hAnsi="Arial" w:cs="Arial"/>
          <w:sz w:val="20"/>
        </w:rPr>
      </w:pPr>
    </w:p>
    <w:p w:rsidR="00662C89" w:rsidRDefault="00662C89">
      <w:pPr>
        <w:ind w:left="705" w:hanging="705"/>
        <w:rPr>
          <w:rFonts w:ascii="Arial" w:hAnsi="Arial" w:cs="Arial"/>
          <w:sz w:val="20"/>
        </w:rPr>
      </w:pPr>
    </w:p>
    <w:p w:rsidR="00662C89" w:rsidRDefault="00662C89">
      <w:pPr>
        <w:ind w:left="705" w:hanging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Stadtwerke Vlotho GmbH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gez. Herbert Obernolte, Geschäftsführer</w:t>
      </w:r>
    </w:p>
    <w:p w:rsidR="00662C89" w:rsidRDefault="00662C89">
      <w:pPr>
        <w:ind w:left="705" w:hanging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Weserstr. 9</w:t>
      </w:r>
    </w:p>
    <w:p w:rsidR="00662C89" w:rsidRDefault="00662C89">
      <w:pPr>
        <w:ind w:left="705" w:hanging="70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32602 Vlotho</w:t>
      </w:r>
    </w:p>
    <w:sectPr w:rsidR="00662C89" w:rsidSect="00E824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35" w:right="1418" w:bottom="1134" w:left="1418" w:header="720" w:footer="720" w:gutter="0"/>
      <w:paperSrc w:first="2" w:other="2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97E" w:rsidRDefault="0023197E">
      <w:r>
        <w:separator/>
      </w:r>
    </w:p>
  </w:endnote>
  <w:endnote w:type="continuationSeparator" w:id="0">
    <w:p w:rsidR="0023197E" w:rsidRDefault="00231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othic P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97E" w:rsidRDefault="0023197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97E" w:rsidRDefault="00740000">
    <w:pPr>
      <w:pStyle w:val="Fuzeile"/>
      <w:jc w:val="center"/>
    </w:pPr>
    <w:r>
      <w:fldChar w:fldCharType="begin"/>
    </w:r>
    <w:r w:rsidR="0023197E">
      <w:instrText xml:space="preserve"> IF </w:instrText>
    </w:r>
    <w:r>
      <w:rPr>
        <w:rStyle w:val="Seitenzahl"/>
      </w:rPr>
      <w:fldChar w:fldCharType="begin"/>
    </w:r>
    <w:r w:rsidR="0023197E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3197E">
      <w:rPr>
        <w:rStyle w:val="Seitenzahl"/>
        <w:noProof/>
      </w:rPr>
      <w:instrText>2</w:instrText>
    </w:r>
    <w:r>
      <w:rPr>
        <w:rStyle w:val="Seitenzahl"/>
      </w:rPr>
      <w:fldChar w:fldCharType="end"/>
    </w:r>
    <w:r w:rsidR="0023197E">
      <w:rPr>
        <w:rStyle w:val="Seitenzahl"/>
      </w:rPr>
      <w:instrText xml:space="preserve"> &lt; </w:instrText>
    </w:r>
    <w:fldSimple w:instr=" NUMPAGES  \* MERGEFORMAT ">
      <w:r w:rsidR="008660D2" w:rsidRPr="008660D2">
        <w:rPr>
          <w:rStyle w:val="Seitenzahl"/>
          <w:noProof/>
        </w:rPr>
        <w:instrText>1</w:instrText>
      </w:r>
    </w:fldSimple>
    <w:r w:rsidR="0023197E">
      <w:rPr>
        <w:rStyle w:val="Seitenzahl"/>
      </w:rPr>
      <w:instrText xml:space="preserve"> "- </w:instrText>
    </w:r>
    <w:r>
      <w:fldChar w:fldCharType="begin"/>
    </w:r>
    <w:r w:rsidR="0023197E">
      <w:instrText>= (</w:instrText>
    </w:r>
    <w:r>
      <w:rPr>
        <w:rStyle w:val="Seitenzahl"/>
      </w:rPr>
      <w:fldChar w:fldCharType="begin"/>
    </w:r>
    <w:r w:rsidR="0023197E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3197E">
      <w:rPr>
        <w:rStyle w:val="Seitenzahl"/>
        <w:noProof/>
      </w:rPr>
      <w:instrText>2</w:instrText>
    </w:r>
    <w:r>
      <w:rPr>
        <w:rStyle w:val="Seitenzahl"/>
      </w:rPr>
      <w:fldChar w:fldCharType="end"/>
    </w:r>
    <w:r w:rsidR="0023197E">
      <w:rPr>
        <w:rStyle w:val="Seitenzahl"/>
      </w:rPr>
      <w:instrText xml:space="preserve"> +1)</w:instrText>
    </w:r>
    <w:r>
      <w:fldChar w:fldCharType="separate"/>
    </w:r>
    <w:r w:rsidR="0023197E">
      <w:rPr>
        <w:noProof/>
      </w:rPr>
      <w:instrText>3</w:instrText>
    </w:r>
    <w:r>
      <w:fldChar w:fldCharType="end"/>
    </w:r>
    <w:r w:rsidR="0023197E">
      <w:instrText xml:space="preserve"> -"</w:instrTex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97E" w:rsidRPr="009430AA" w:rsidRDefault="0023197E" w:rsidP="009430A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97E" w:rsidRDefault="0023197E">
      <w:r>
        <w:separator/>
      </w:r>
    </w:p>
  </w:footnote>
  <w:footnote w:type="continuationSeparator" w:id="0">
    <w:p w:rsidR="0023197E" w:rsidRDefault="00231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97E" w:rsidRDefault="0023197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97E" w:rsidRDefault="0023197E">
    <w:pPr>
      <w:pStyle w:val="Kopfzeile"/>
      <w:jc w:val="center"/>
    </w:pPr>
    <w:r>
      <w:t xml:space="preserve">- </w:t>
    </w:r>
    <w:r w:rsidR="00740000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40000">
      <w:rPr>
        <w:rStyle w:val="Seitenzahl"/>
      </w:rPr>
      <w:fldChar w:fldCharType="separate"/>
    </w:r>
    <w:r>
      <w:rPr>
        <w:rStyle w:val="Seitenzahl"/>
        <w:noProof/>
      </w:rPr>
      <w:t>2</w:t>
    </w:r>
    <w:r w:rsidR="00740000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97E" w:rsidRDefault="0023197E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7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BC0"/>
    <w:rsid w:val="000411E4"/>
    <w:rsid w:val="000B7A41"/>
    <w:rsid w:val="00107F72"/>
    <w:rsid w:val="0023197E"/>
    <w:rsid w:val="002523F8"/>
    <w:rsid w:val="00355DDD"/>
    <w:rsid w:val="00397DB3"/>
    <w:rsid w:val="00460BEA"/>
    <w:rsid w:val="00471A32"/>
    <w:rsid w:val="004773E8"/>
    <w:rsid w:val="004C0A92"/>
    <w:rsid w:val="00600264"/>
    <w:rsid w:val="00603895"/>
    <w:rsid w:val="00630472"/>
    <w:rsid w:val="00644E6A"/>
    <w:rsid w:val="00662C89"/>
    <w:rsid w:val="00740000"/>
    <w:rsid w:val="00743BC0"/>
    <w:rsid w:val="00795919"/>
    <w:rsid w:val="008660D2"/>
    <w:rsid w:val="009430AA"/>
    <w:rsid w:val="009B2877"/>
    <w:rsid w:val="00B93018"/>
    <w:rsid w:val="00C45C5B"/>
    <w:rsid w:val="00CE524A"/>
    <w:rsid w:val="00E53CA9"/>
    <w:rsid w:val="00E82412"/>
    <w:rsid w:val="00EA0633"/>
    <w:rsid w:val="00E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8241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E82412"/>
    <w:pPr>
      <w:keepNext/>
      <w:spacing w:before="360" w:after="240"/>
      <w:outlineLvl w:val="0"/>
    </w:pPr>
    <w:rPr>
      <w:rFonts w:ascii="Arial" w:hAnsi="Arial"/>
      <w:b/>
      <w:sz w:val="32"/>
      <w:szCs w:val="20"/>
    </w:rPr>
  </w:style>
  <w:style w:type="paragraph" w:styleId="berschrift6">
    <w:name w:val="heading 6"/>
    <w:basedOn w:val="Standard"/>
    <w:next w:val="Standard"/>
    <w:qFormat/>
    <w:rsid w:val="00E82412"/>
    <w:pPr>
      <w:keepNext/>
      <w:jc w:val="center"/>
      <w:outlineLvl w:val="5"/>
    </w:pPr>
    <w:rPr>
      <w:rFonts w:ascii="Arial" w:hAnsi="Arial"/>
      <w:b/>
      <w:bCs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E82412"/>
    <w:pPr>
      <w:tabs>
        <w:tab w:val="center" w:pos="4819"/>
        <w:tab w:val="right" w:pos="9071"/>
      </w:tabs>
    </w:pPr>
    <w:rPr>
      <w:rFonts w:ascii="Gothic PS" w:hAnsi="Gothic PS"/>
      <w:sz w:val="22"/>
      <w:szCs w:val="20"/>
    </w:rPr>
  </w:style>
  <w:style w:type="paragraph" w:styleId="Kopfzeile">
    <w:name w:val="header"/>
    <w:basedOn w:val="Standard"/>
    <w:rsid w:val="00E82412"/>
    <w:pPr>
      <w:tabs>
        <w:tab w:val="center" w:pos="4819"/>
        <w:tab w:val="right" w:pos="9071"/>
      </w:tabs>
    </w:pPr>
    <w:rPr>
      <w:rFonts w:ascii="Gothic PS" w:hAnsi="Gothic PS"/>
      <w:sz w:val="22"/>
      <w:szCs w:val="20"/>
    </w:rPr>
  </w:style>
  <w:style w:type="character" w:styleId="Seitenzahl">
    <w:name w:val="page number"/>
    <w:basedOn w:val="Absatz-Standardschriftart"/>
    <w:rsid w:val="00E82412"/>
  </w:style>
  <w:style w:type="paragraph" w:styleId="Untertitel">
    <w:name w:val="Subtitle"/>
    <w:basedOn w:val="Standard"/>
    <w:qFormat/>
    <w:rsid w:val="00E82412"/>
    <w:rPr>
      <w:rFonts w:ascii="Arial" w:hAnsi="Arial" w:cs="Arial"/>
      <w:b/>
      <w:bCs/>
      <w:sz w:val="22"/>
    </w:rPr>
  </w:style>
  <w:style w:type="paragraph" w:styleId="Titel">
    <w:name w:val="Title"/>
    <w:basedOn w:val="Standard"/>
    <w:qFormat/>
    <w:rsid w:val="00E82412"/>
    <w:pPr>
      <w:jc w:val="center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43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Stadtwerke Vlotho GmbH</vt:lpstr>
    </vt:vector>
  </TitlesOfParts>
  <Company>Stadt Vlotho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Stadtwerke Vlotho GmbH</dc:title>
  <dc:creator>B2906015</dc:creator>
  <cp:lastModifiedBy>Vlotho</cp:lastModifiedBy>
  <cp:revision>2</cp:revision>
  <cp:lastPrinted>2017-01-17T13:18:00Z</cp:lastPrinted>
  <dcterms:created xsi:type="dcterms:W3CDTF">2017-02-02T06:38:00Z</dcterms:created>
  <dcterms:modified xsi:type="dcterms:W3CDTF">2017-02-02T06:38:00Z</dcterms:modified>
</cp:coreProperties>
</file>