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4392" w14:textId="77777777" w:rsidR="00C17870" w:rsidRDefault="00C17870" w:rsidP="00C17870">
      <w:pPr>
        <w:pStyle w:val="Untertitel"/>
        <w:rPr>
          <w:sz w:val="20"/>
        </w:rPr>
      </w:pPr>
    </w:p>
    <w:p w14:paraId="1FD602F8" w14:textId="77777777" w:rsidR="005F5810" w:rsidRDefault="005F5810" w:rsidP="00C17870">
      <w:pPr>
        <w:pStyle w:val="Untertitel"/>
        <w:rPr>
          <w:sz w:val="20"/>
        </w:rPr>
      </w:pPr>
    </w:p>
    <w:p w14:paraId="703CB025" w14:textId="77777777" w:rsidR="00C17870" w:rsidRDefault="00C17870" w:rsidP="00C17870">
      <w:pPr>
        <w:pStyle w:val="Untertitel"/>
        <w:rPr>
          <w:sz w:val="20"/>
        </w:rPr>
      </w:pPr>
    </w:p>
    <w:p w14:paraId="633E634A" w14:textId="77777777" w:rsidR="00C17870" w:rsidRDefault="00C17870" w:rsidP="00C17870">
      <w:pPr>
        <w:pStyle w:val="Untertitel"/>
        <w:rPr>
          <w:sz w:val="20"/>
        </w:rPr>
      </w:pPr>
      <w:r>
        <w:rPr>
          <w:sz w:val="20"/>
        </w:rPr>
        <w:t>Allgemeine Tarife / Grund- und Ersatzversorgung</w:t>
      </w:r>
    </w:p>
    <w:p w14:paraId="6B7404CB" w14:textId="77777777" w:rsidR="004A0F61" w:rsidRDefault="004A0F61" w:rsidP="00C17870">
      <w:pPr>
        <w:pStyle w:val="Untertitel"/>
        <w:rPr>
          <w:sz w:val="20"/>
        </w:rPr>
      </w:pPr>
    </w:p>
    <w:p w14:paraId="5CE8C3B3" w14:textId="77777777" w:rsidR="00C17870" w:rsidRDefault="00C17870" w:rsidP="00C17870">
      <w:pPr>
        <w:rPr>
          <w:rFonts w:ascii="Arial" w:hAnsi="Arial" w:cs="Arial"/>
          <w:sz w:val="20"/>
        </w:rPr>
      </w:pPr>
    </w:p>
    <w:p w14:paraId="68A88FDA" w14:textId="77777777" w:rsidR="00C17870" w:rsidRDefault="00C17870" w:rsidP="00C178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Grund- und Ersatzversorgung in Niederdr</w:t>
      </w:r>
      <w:r w:rsidR="00B04DB4">
        <w:rPr>
          <w:rFonts w:ascii="Arial" w:hAnsi="Arial" w:cs="Arial"/>
          <w:sz w:val="20"/>
        </w:rPr>
        <w:t>uck bieten wir ab dem 01.0</w:t>
      </w:r>
      <w:r w:rsidR="00943EFF">
        <w:rPr>
          <w:rFonts w:ascii="Arial" w:hAnsi="Arial" w:cs="Arial"/>
          <w:sz w:val="20"/>
        </w:rPr>
        <w:t>1</w:t>
      </w:r>
      <w:r w:rsidR="00B04DB4">
        <w:rPr>
          <w:rFonts w:ascii="Arial" w:hAnsi="Arial" w:cs="Arial"/>
          <w:sz w:val="20"/>
        </w:rPr>
        <w:t>.202</w:t>
      </w:r>
      <w:r w:rsidR="00943EFF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zu nachfolgenden Preisen und den Bedingungen der </w:t>
      </w:r>
      <w:proofErr w:type="spellStart"/>
      <w:r>
        <w:rPr>
          <w:rFonts w:ascii="Arial" w:hAnsi="Arial" w:cs="Arial"/>
          <w:sz w:val="20"/>
        </w:rPr>
        <w:t>GasGVV</w:t>
      </w:r>
      <w:proofErr w:type="spellEnd"/>
      <w:r>
        <w:rPr>
          <w:rFonts w:ascii="Arial" w:hAnsi="Arial" w:cs="Arial"/>
          <w:sz w:val="20"/>
        </w:rPr>
        <w:t xml:space="preserve"> an. Sie entsprechen den Preisregelungen der Allgemeinen Tarife und Bedingungen für die Belieferung von Tarifkunden mit Erdgas.</w:t>
      </w:r>
    </w:p>
    <w:p w14:paraId="25A398A1" w14:textId="77777777" w:rsidR="00C17870" w:rsidRDefault="00C17870" w:rsidP="00C17870">
      <w:pPr>
        <w:rPr>
          <w:rFonts w:ascii="Arial" w:hAnsi="Arial" w:cs="Arial"/>
          <w:sz w:val="20"/>
        </w:rPr>
      </w:pPr>
    </w:p>
    <w:p w14:paraId="10232AB0" w14:textId="77777777" w:rsidR="00C17870" w:rsidRDefault="00C17870" w:rsidP="00C17870"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2340"/>
        <w:gridCol w:w="1620"/>
      </w:tblGrid>
      <w:tr w:rsidR="00C17870" w14:paraId="48384F33" w14:textId="77777777" w:rsidTr="0034611C">
        <w:tc>
          <w:tcPr>
            <w:tcW w:w="2590" w:type="dxa"/>
          </w:tcPr>
          <w:p w14:paraId="30295F61" w14:textId="77777777" w:rsidR="00C17870" w:rsidRDefault="00C17870" w:rsidP="0034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Tarif</w:t>
            </w:r>
          </w:p>
          <w:p w14:paraId="3E3CE3FB" w14:textId="77777777" w:rsidR="00C17870" w:rsidRDefault="00C17870" w:rsidP="0034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Grund- und Ersatzversorgung</w:t>
            </w:r>
          </w:p>
        </w:tc>
        <w:tc>
          <w:tcPr>
            <w:tcW w:w="2160" w:type="dxa"/>
          </w:tcPr>
          <w:p w14:paraId="4102E28F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Verbrauch</w:t>
            </w:r>
          </w:p>
          <w:p w14:paraId="26BA61A4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kWh/Jahr</w:t>
            </w:r>
          </w:p>
        </w:tc>
        <w:tc>
          <w:tcPr>
            <w:tcW w:w="2340" w:type="dxa"/>
          </w:tcPr>
          <w:p w14:paraId="57409450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Arbeitspreis</w:t>
            </w:r>
          </w:p>
          <w:p w14:paraId="6386A2B1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ct/kWh</w:t>
            </w:r>
          </w:p>
        </w:tc>
        <w:tc>
          <w:tcPr>
            <w:tcW w:w="1620" w:type="dxa"/>
          </w:tcPr>
          <w:p w14:paraId="3F1C5424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Grundpreis</w:t>
            </w:r>
          </w:p>
          <w:p w14:paraId="3CD4BBE0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EUR/Jahr</w:t>
            </w:r>
          </w:p>
        </w:tc>
      </w:tr>
      <w:tr w:rsidR="00C17870" w14:paraId="517172AD" w14:textId="77777777" w:rsidTr="0034611C">
        <w:tc>
          <w:tcPr>
            <w:tcW w:w="2590" w:type="dxa"/>
          </w:tcPr>
          <w:p w14:paraId="334334AA" w14:textId="77777777" w:rsidR="00C17870" w:rsidRDefault="00C17870" w:rsidP="003461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34482F22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5044E8DE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EA66B5B" w14:textId="77777777" w:rsidR="00C17870" w:rsidRDefault="00C17870" w:rsidP="003461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7870" w14:paraId="5F321BBB" w14:textId="77777777" w:rsidTr="0034611C">
        <w:tc>
          <w:tcPr>
            <w:tcW w:w="2590" w:type="dxa"/>
          </w:tcPr>
          <w:p w14:paraId="084930FD" w14:textId="77777777" w:rsidR="00C17870" w:rsidRDefault="00C17870" w:rsidP="0034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Tarif K 70</w:t>
            </w:r>
          </w:p>
        </w:tc>
        <w:tc>
          <w:tcPr>
            <w:tcW w:w="2160" w:type="dxa"/>
          </w:tcPr>
          <w:p w14:paraId="7AE92117" w14:textId="77777777" w:rsidR="00C17870" w:rsidRDefault="00C17870" w:rsidP="0034611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bis 3.190</w:t>
            </w:r>
          </w:p>
        </w:tc>
        <w:tc>
          <w:tcPr>
            <w:tcW w:w="2340" w:type="dxa"/>
          </w:tcPr>
          <w:p w14:paraId="5CA75E9F" w14:textId="77777777" w:rsidR="00C17870" w:rsidRDefault="00943EFF" w:rsidP="00DF38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11,93</w:t>
            </w:r>
            <w:r w:rsidR="007E7948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14,20</w:t>
            </w:r>
            <w:r w:rsidR="00C1787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20" w:type="dxa"/>
          </w:tcPr>
          <w:p w14:paraId="1BE5EFED" w14:textId="77777777" w:rsidR="00C17870" w:rsidRDefault="00C17870" w:rsidP="00E24EC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36,00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="00E24ECC">
              <w:rPr>
                <w:rFonts w:ascii="Arial" w:hAnsi="Arial" w:cs="Arial"/>
                <w:sz w:val="20"/>
              </w:rPr>
              <w:t>42,84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C17870" w14:paraId="04DA6C8B" w14:textId="77777777" w:rsidTr="0034611C">
        <w:tc>
          <w:tcPr>
            <w:tcW w:w="2590" w:type="dxa"/>
          </w:tcPr>
          <w:p w14:paraId="205EBD76" w14:textId="77777777" w:rsidR="00C17870" w:rsidRDefault="00C17870" w:rsidP="0034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Tarif G 46</w:t>
            </w:r>
          </w:p>
        </w:tc>
        <w:tc>
          <w:tcPr>
            <w:tcW w:w="2160" w:type="dxa"/>
          </w:tcPr>
          <w:p w14:paraId="6D971A40" w14:textId="77777777" w:rsidR="00C17870" w:rsidRDefault="00C17870" w:rsidP="0034611C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3.191 – 24.480</w:t>
            </w:r>
          </w:p>
        </w:tc>
        <w:tc>
          <w:tcPr>
            <w:tcW w:w="2340" w:type="dxa"/>
          </w:tcPr>
          <w:p w14:paraId="58D706E7" w14:textId="77777777" w:rsidR="00C17870" w:rsidRDefault="00B04DB4" w:rsidP="00DF386B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</w:t>
            </w:r>
            <w:r w:rsidR="00943EFF">
              <w:rPr>
                <w:rFonts w:ascii="Arial" w:hAnsi="Arial" w:cs="Arial"/>
                <w:sz w:val="20"/>
                <w:lang w:val="it-IT"/>
              </w:rPr>
              <w:t>1,14</w:t>
            </w:r>
            <w:r w:rsidR="007E7948">
              <w:rPr>
                <w:rFonts w:ascii="Arial" w:hAnsi="Arial" w:cs="Arial"/>
                <w:sz w:val="20"/>
                <w:lang w:val="it-IT"/>
              </w:rPr>
              <w:t xml:space="preserve"> (</w:t>
            </w:r>
            <w:r w:rsidR="00943EFF">
              <w:rPr>
                <w:rFonts w:ascii="Arial" w:hAnsi="Arial" w:cs="Arial"/>
                <w:sz w:val="20"/>
                <w:lang w:val="it-IT"/>
              </w:rPr>
              <w:t>13,26</w:t>
            </w:r>
            <w:r w:rsidR="00C17870">
              <w:rPr>
                <w:rFonts w:ascii="Arial" w:hAnsi="Arial" w:cs="Arial"/>
                <w:sz w:val="20"/>
                <w:lang w:val="it-IT"/>
              </w:rPr>
              <w:t>)</w:t>
            </w:r>
          </w:p>
        </w:tc>
        <w:tc>
          <w:tcPr>
            <w:tcW w:w="1620" w:type="dxa"/>
          </w:tcPr>
          <w:p w14:paraId="4C30BD49" w14:textId="77777777" w:rsidR="00C17870" w:rsidRDefault="00C17870" w:rsidP="00E24ECC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61,20</w:t>
            </w:r>
            <w:proofErr w:type="gramStart"/>
            <w:r>
              <w:rPr>
                <w:rFonts w:ascii="Arial" w:hAnsi="Arial" w:cs="Arial"/>
                <w:sz w:val="20"/>
                <w:lang w:val="it-IT"/>
              </w:rPr>
              <w:t xml:space="preserve">   (</w:t>
            </w:r>
            <w:proofErr w:type="gramEnd"/>
            <w:r w:rsidR="00E24ECC">
              <w:rPr>
                <w:rFonts w:ascii="Arial" w:hAnsi="Arial" w:cs="Arial"/>
                <w:sz w:val="20"/>
                <w:lang w:val="it-IT"/>
              </w:rPr>
              <w:t>72,83</w:t>
            </w:r>
            <w:r>
              <w:rPr>
                <w:rFonts w:ascii="Arial" w:hAnsi="Arial" w:cs="Arial"/>
                <w:sz w:val="20"/>
                <w:lang w:val="it-IT"/>
              </w:rPr>
              <w:t>)</w:t>
            </w:r>
          </w:p>
        </w:tc>
      </w:tr>
      <w:tr w:rsidR="00C17870" w14:paraId="507E88B1" w14:textId="77777777" w:rsidTr="0034611C">
        <w:tc>
          <w:tcPr>
            <w:tcW w:w="2590" w:type="dxa"/>
          </w:tcPr>
          <w:p w14:paraId="4A82CDDD" w14:textId="77777777" w:rsidR="00C17870" w:rsidRDefault="00C17870" w:rsidP="0034611C">
            <w:pPr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Sondertarif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I</w:t>
            </w:r>
          </w:p>
        </w:tc>
        <w:tc>
          <w:tcPr>
            <w:tcW w:w="2160" w:type="dxa"/>
          </w:tcPr>
          <w:p w14:paraId="17206810" w14:textId="77777777" w:rsidR="00C17870" w:rsidRDefault="00C17870" w:rsidP="0034611C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24.481 – 40.800</w:t>
            </w:r>
          </w:p>
        </w:tc>
        <w:tc>
          <w:tcPr>
            <w:tcW w:w="2340" w:type="dxa"/>
          </w:tcPr>
          <w:p w14:paraId="5144D9F2" w14:textId="77777777" w:rsidR="00C17870" w:rsidRDefault="00943EFF" w:rsidP="00E24ECC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10,89</w:t>
            </w:r>
            <w:r w:rsidR="003C34E3">
              <w:rPr>
                <w:rFonts w:ascii="Arial" w:hAnsi="Arial" w:cs="Arial"/>
                <w:sz w:val="20"/>
                <w:lang w:val="it-IT"/>
              </w:rPr>
              <w:t xml:space="preserve"> (</w:t>
            </w:r>
            <w:r>
              <w:rPr>
                <w:rFonts w:ascii="Arial" w:hAnsi="Arial" w:cs="Arial"/>
                <w:sz w:val="20"/>
                <w:lang w:val="it-IT"/>
              </w:rPr>
              <w:t>12,96</w:t>
            </w:r>
            <w:r w:rsidR="00C17870">
              <w:rPr>
                <w:rFonts w:ascii="Arial" w:hAnsi="Arial" w:cs="Arial"/>
                <w:sz w:val="20"/>
                <w:lang w:val="it-IT"/>
              </w:rPr>
              <w:t>)</w:t>
            </w:r>
          </w:p>
        </w:tc>
        <w:tc>
          <w:tcPr>
            <w:tcW w:w="1620" w:type="dxa"/>
          </w:tcPr>
          <w:p w14:paraId="5969F23A" w14:textId="77777777" w:rsidR="00C17870" w:rsidRDefault="00C17870" w:rsidP="00E24ECC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122,40 (</w:t>
            </w:r>
            <w:r w:rsidR="00E24ECC">
              <w:rPr>
                <w:rFonts w:ascii="Arial" w:hAnsi="Arial" w:cs="Arial"/>
                <w:sz w:val="20"/>
                <w:lang w:val="it-IT"/>
              </w:rPr>
              <w:t>145,66</w:t>
            </w:r>
            <w:r>
              <w:rPr>
                <w:rFonts w:ascii="Arial" w:hAnsi="Arial" w:cs="Arial"/>
                <w:sz w:val="20"/>
                <w:lang w:val="it-IT"/>
              </w:rPr>
              <w:t>)</w:t>
            </w:r>
          </w:p>
        </w:tc>
      </w:tr>
      <w:tr w:rsidR="00C17870" w14:paraId="091C4C04" w14:textId="77777777" w:rsidTr="0034611C">
        <w:tc>
          <w:tcPr>
            <w:tcW w:w="2590" w:type="dxa"/>
          </w:tcPr>
          <w:p w14:paraId="214EBE2D" w14:textId="77777777" w:rsidR="00C17870" w:rsidRDefault="00C17870" w:rsidP="0034611C">
            <w:pPr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Sondertarif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II *¹</w:t>
            </w:r>
          </w:p>
        </w:tc>
        <w:tc>
          <w:tcPr>
            <w:tcW w:w="2160" w:type="dxa"/>
          </w:tcPr>
          <w:p w14:paraId="64E28FF3" w14:textId="77777777" w:rsidR="00C17870" w:rsidRDefault="00C17870" w:rsidP="0034611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 40.801</w:t>
            </w:r>
          </w:p>
        </w:tc>
        <w:tc>
          <w:tcPr>
            <w:tcW w:w="2340" w:type="dxa"/>
          </w:tcPr>
          <w:p w14:paraId="62B941AE" w14:textId="77777777" w:rsidR="00C17870" w:rsidRDefault="00B04DB4" w:rsidP="00E24E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3EFF">
              <w:rPr>
                <w:rFonts w:ascii="Arial" w:hAnsi="Arial" w:cs="Arial"/>
                <w:sz w:val="20"/>
              </w:rPr>
              <w:t>1,19</w:t>
            </w:r>
            <w:r w:rsidR="003C34E3">
              <w:rPr>
                <w:rFonts w:ascii="Arial" w:hAnsi="Arial" w:cs="Arial"/>
                <w:sz w:val="20"/>
              </w:rPr>
              <w:t xml:space="preserve"> (</w:t>
            </w:r>
            <w:r w:rsidR="00943EFF">
              <w:rPr>
                <w:rFonts w:ascii="Arial" w:hAnsi="Arial" w:cs="Arial"/>
                <w:sz w:val="20"/>
              </w:rPr>
              <w:t>13,32</w:t>
            </w:r>
            <w:r w:rsidR="00C1787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20" w:type="dxa"/>
          </w:tcPr>
          <w:p w14:paraId="78199955" w14:textId="77777777" w:rsidR="00C17870" w:rsidRDefault="00C17870" w:rsidP="0034611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17870" w14:paraId="5D07E1C3" w14:textId="77777777" w:rsidTr="0034611C">
        <w:tc>
          <w:tcPr>
            <w:tcW w:w="2590" w:type="dxa"/>
          </w:tcPr>
          <w:p w14:paraId="1D9CEBEE" w14:textId="77777777" w:rsidR="00C17870" w:rsidRDefault="00C17870" w:rsidP="0034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Sondertarif III *²</w:t>
            </w:r>
          </w:p>
        </w:tc>
        <w:tc>
          <w:tcPr>
            <w:tcW w:w="2160" w:type="dxa"/>
          </w:tcPr>
          <w:p w14:paraId="2813BEF6" w14:textId="77777777" w:rsidR="00C17870" w:rsidRDefault="00C17870" w:rsidP="0034611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10.001 – 24.480</w:t>
            </w:r>
          </w:p>
        </w:tc>
        <w:tc>
          <w:tcPr>
            <w:tcW w:w="2340" w:type="dxa"/>
          </w:tcPr>
          <w:p w14:paraId="1891B15F" w14:textId="77777777" w:rsidR="00C17870" w:rsidRDefault="00B04DB4" w:rsidP="00E24E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3EFF">
              <w:rPr>
                <w:rFonts w:ascii="Arial" w:hAnsi="Arial" w:cs="Arial"/>
                <w:sz w:val="20"/>
              </w:rPr>
              <w:t>1,14</w:t>
            </w:r>
            <w:r w:rsidR="003C34E3">
              <w:rPr>
                <w:rFonts w:ascii="Arial" w:hAnsi="Arial" w:cs="Arial"/>
                <w:sz w:val="20"/>
              </w:rPr>
              <w:t xml:space="preserve"> (</w:t>
            </w:r>
            <w:r w:rsidR="00943EFF">
              <w:rPr>
                <w:rFonts w:ascii="Arial" w:hAnsi="Arial" w:cs="Arial"/>
                <w:sz w:val="20"/>
              </w:rPr>
              <w:t>13,26</w:t>
            </w:r>
            <w:r w:rsidR="00C1787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20" w:type="dxa"/>
          </w:tcPr>
          <w:p w14:paraId="284E405C" w14:textId="77777777" w:rsidR="00C17870" w:rsidRDefault="00C17870" w:rsidP="00E24EC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61,20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="00E24ECC">
              <w:rPr>
                <w:rFonts w:ascii="Arial" w:hAnsi="Arial" w:cs="Arial"/>
                <w:sz w:val="20"/>
              </w:rPr>
              <w:t>72,83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4A0F61" w14:paraId="1B1B53E8" w14:textId="77777777" w:rsidTr="0034611C">
        <w:tc>
          <w:tcPr>
            <w:tcW w:w="2590" w:type="dxa"/>
          </w:tcPr>
          <w:p w14:paraId="126CD59A" w14:textId="77777777" w:rsidR="004A0F61" w:rsidRDefault="004A0F61" w:rsidP="003461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744B2DAA" w14:textId="77777777" w:rsidR="004A0F61" w:rsidRDefault="004A0F61" w:rsidP="0034611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0323BFDC" w14:textId="77777777" w:rsidR="004A0F61" w:rsidRDefault="004A0F61" w:rsidP="008A620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D83FA05" w14:textId="77777777" w:rsidR="004A0F61" w:rsidRDefault="004A0F61" w:rsidP="0034611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026EBDB5" w14:textId="77777777" w:rsidR="00C17870" w:rsidRDefault="00C17870" w:rsidP="00C17870">
      <w:pPr>
        <w:rPr>
          <w:rFonts w:ascii="Arial" w:hAnsi="Arial" w:cs="Arial"/>
          <w:sz w:val="20"/>
        </w:rPr>
      </w:pPr>
    </w:p>
    <w:p w14:paraId="6D7074BC" w14:textId="77777777" w:rsidR="00C17870" w:rsidRDefault="00C17870" w:rsidP="00C178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*¹ Der Tarif wird zu dem Durchschnittspreis abgerechnet, wenn der sich aus Grund- und Arbeitspreis ergebende Preis diesen Durchschnittspreis unterschreitet.</w:t>
      </w:r>
    </w:p>
    <w:p w14:paraId="0E3B420B" w14:textId="77777777" w:rsidR="00C17870" w:rsidRDefault="00C17870" w:rsidP="00C178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*² Dieser Tarif gilt nur für bestehende Verträge im Bereich der Gasversorgung Exter, die durch die Stadtwerke Vlotho GmbH ab dem 01.01.2005 von der RWE Westfalen-Weser-Ems AG übernommen worden ist.</w:t>
      </w:r>
    </w:p>
    <w:p w14:paraId="12616036" w14:textId="77777777" w:rsidR="00C17870" w:rsidRDefault="00C17870" w:rsidP="00C17870">
      <w:pPr>
        <w:rPr>
          <w:rFonts w:ascii="Arial" w:hAnsi="Arial" w:cs="Arial"/>
          <w:sz w:val="20"/>
        </w:rPr>
      </w:pPr>
    </w:p>
    <w:p w14:paraId="3CB4C4A5" w14:textId="77777777" w:rsidR="004A0F61" w:rsidRDefault="004A0F61" w:rsidP="00C17870">
      <w:pPr>
        <w:rPr>
          <w:rFonts w:ascii="Arial" w:hAnsi="Arial" w:cs="Arial"/>
          <w:sz w:val="20"/>
        </w:rPr>
      </w:pPr>
    </w:p>
    <w:p w14:paraId="7DE8BD49" w14:textId="77777777" w:rsidR="00C17870" w:rsidRDefault="00C17870" w:rsidP="00C178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Hinweise:</w:t>
      </w:r>
    </w:p>
    <w:p w14:paraId="64B2A76F" w14:textId="77777777" w:rsidR="00C17870" w:rsidRDefault="00C17870" w:rsidP="00C17870">
      <w:pPr>
        <w:rPr>
          <w:rFonts w:ascii="Arial" w:hAnsi="Arial" w:cs="Arial"/>
          <w:sz w:val="20"/>
        </w:rPr>
      </w:pPr>
    </w:p>
    <w:p w14:paraId="34CE285D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Für die Einräumung der Sonderpreise ist es erforderlich, dass ein rechtswirksam unterzeichneter Gaslieferungsvertrag für Sonderkunden vorliegt.</w:t>
      </w:r>
    </w:p>
    <w:p w14:paraId="63EF45DC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</w:p>
    <w:p w14:paraId="6D57ED19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Die in Klammern ausgewiesenen Bruttopreise be</w:t>
      </w:r>
      <w:r w:rsidR="004A0F61">
        <w:rPr>
          <w:rFonts w:ascii="Arial" w:hAnsi="Arial" w:cs="Arial"/>
          <w:sz w:val="20"/>
        </w:rPr>
        <w:t>inhalten einen</w:t>
      </w:r>
      <w:r>
        <w:rPr>
          <w:rFonts w:ascii="Arial" w:hAnsi="Arial" w:cs="Arial"/>
          <w:sz w:val="20"/>
        </w:rPr>
        <w:t xml:space="preserve"> Umsatzsteuer</w:t>
      </w:r>
      <w:r w:rsidR="00E24ECC">
        <w:rPr>
          <w:rFonts w:ascii="Arial" w:hAnsi="Arial" w:cs="Arial"/>
          <w:sz w:val="20"/>
        </w:rPr>
        <w:t>satz von 19</w:t>
      </w:r>
      <w:r w:rsidR="004A0F61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>.</w:t>
      </w:r>
    </w:p>
    <w:p w14:paraId="612FD2AA" w14:textId="77777777" w:rsidR="004A0F61" w:rsidRDefault="004A0F61" w:rsidP="00C17870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2B1A3E5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</w:p>
    <w:p w14:paraId="73E93D63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</w:p>
    <w:p w14:paraId="55E4FDD2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</w:p>
    <w:p w14:paraId="4CEA3FA0" w14:textId="77777777" w:rsidR="004A0F61" w:rsidRDefault="004A0F61" w:rsidP="00C17870">
      <w:pPr>
        <w:ind w:left="705" w:hanging="705"/>
        <w:rPr>
          <w:rFonts w:ascii="Arial" w:hAnsi="Arial" w:cs="Arial"/>
          <w:sz w:val="20"/>
        </w:rPr>
      </w:pPr>
    </w:p>
    <w:p w14:paraId="5197AAE6" w14:textId="77777777" w:rsidR="004A0F61" w:rsidRDefault="004A0F61" w:rsidP="00C17870">
      <w:pPr>
        <w:ind w:left="705" w:hanging="705"/>
        <w:rPr>
          <w:rFonts w:ascii="Arial" w:hAnsi="Arial" w:cs="Arial"/>
          <w:sz w:val="20"/>
        </w:rPr>
      </w:pPr>
    </w:p>
    <w:p w14:paraId="42842839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Stadtwerke Vlotho GmbH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gez. Bernd Adam, Geschäftsführer</w:t>
      </w:r>
    </w:p>
    <w:p w14:paraId="6307F769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Weserstr. 9</w:t>
      </w:r>
    </w:p>
    <w:p w14:paraId="43AB55C7" w14:textId="77777777" w:rsidR="00C17870" w:rsidRDefault="00C17870" w:rsidP="00C17870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32602 Vlotho</w:t>
      </w:r>
    </w:p>
    <w:p w14:paraId="1F069CF2" w14:textId="77777777" w:rsidR="00F14290" w:rsidRDefault="00F14290"/>
    <w:sectPr w:rsidR="00F14290" w:rsidSect="00E82412">
      <w:headerReference w:type="default" r:id="rId6"/>
      <w:footerReference w:type="default" r:id="rId7"/>
      <w:pgSz w:w="11906" w:h="16838" w:code="9"/>
      <w:pgMar w:top="2835" w:right="1418" w:bottom="1134" w:left="1418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D13B" w14:textId="77777777" w:rsidR="00372DA8" w:rsidRDefault="00372DA8">
      <w:r>
        <w:separator/>
      </w:r>
    </w:p>
  </w:endnote>
  <w:endnote w:type="continuationSeparator" w:id="0">
    <w:p w14:paraId="29E8080B" w14:textId="77777777" w:rsidR="00372DA8" w:rsidRDefault="0037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495B" w14:textId="77777777" w:rsidR="00A96689" w:rsidRDefault="00C17870">
    <w:pPr>
      <w:pStyle w:val="Fuzeile"/>
      <w:jc w:val="center"/>
    </w:pPr>
    <w:r>
      <w:fldChar w:fldCharType="begin"/>
    </w:r>
    <w: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&lt; </w:instrText>
    </w:r>
    <w:r w:rsidR="00A96689">
      <w:fldChar w:fldCharType="begin"/>
    </w:r>
    <w:r w:rsidR="00A96689">
      <w:instrText xml:space="preserve"> NUMPAGES  \* MERGEFORMAT </w:instrText>
    </w:r>
    <w:r w:rsidR="00A96689">
      <w:fldChar w:fldCharType="separate"/>
    </w:r>
    <w:r w:rsidR="00DF386B" w:rsidRPr="00DF386B">
      <w:rPr>
        <w:rStyle w:val="Seitenzahl"/>
        <w:noProof/>
      </w:rPr>
      <w:instrText>1</w:instrText>
    </w:r>
    <w:r w:rsidR="00A96689">
      <w:rPr>
        <w:rStyle w:val="Seitenzahl"/>
        <w:noProof/>
      </w:rPr>
      <w:fldChar w:fldCharType="end"/>
    </w:r>
    <w:r>
      <w:rPr>
        <w:rStyle w:val="Seitenzahl"/>
      </w:rPr>
      <w:instrText xml:space="preserve"> "- </w:instrText>
    </w:r>
    <w:r>
      <w:fldChar w:fldCharType="begin"/>
    </w:r>
    <w:r>
      <w:instrText>= (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+1)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 -"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BD7F" w14:textId="77777777" w:rsidR="00372DA8" w:rsidRDefault="00372DA8">
      <w:r>
        <w:separator/>
      </w:r>
    </w:p>
  </w:footnote>
  <w:footnote w:type="continuationSeparator" w:id="0">
    <w:p w14:paraId="7347B850" w14:textId="77777777" w:rsidR="00372DA8" w:rsidRDefault="0037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A772" w14:textId="77777777" w:rsidR="00A96689" w:rsidRDefault="00C17870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70"/>
    <w:rsid w:val="000727DB"/>
    <w:rsid w:val="00113993"/>
    <w:rsid w:val="00372DA8"/>
    <w:rsid w:val="003A2130"/>
    <w:rsid w:val="003C1A8B"/>
    <w:rsid w:val="003C34E3"/>
    <w:rsid w:val="00424BD7"/>
    <w:rsid w:val="004A0F61"/>
    <w:rsid w:val="004E70F1"/>
    <w:rsid w:val="005041F7"/>
    <w:rsid w:val="005D1770"/>
    <w:rsid w:val="005F5810"/>
    <w:rsid w:val="00601446"/>
    <w:rsid w:val="0062083E"/>
    <w:rsid w:val="00645E4D"/>
    <w:rsid w:val="00676F5E"/>
    <w:rsid w:val="007661B5"/>
    <w:rsid w:val="007E7948"/>
    <w:rsid w:val="008A620D"/>
    <w:rsid w:val="009400AE"/>
    <w:rsid w:val="00943EFF"/>
    <w:rsid w:val="00956065"/>
    <w:rsid w:val="00993852"/>
    <w:rsid w:val="009C3606"/>
    <w:rsid w:val="00A31618"/>
    <w:rsid w:val="00A77E92"/>
    <w:rsid w:val="00B04DB4"/>
    <w:rsid w:val="00B9073D"/>
    <w:rsid w:val="00C10745"/>
    <w:rsid w:val="00C17870"/>
    <w:rsid w:val="00CE1A2F"/>
    <w:rsid w:val="00D4286D"/>
    <w:rsid w:val="00D74A01"/>
    <w:rsid w:val="00DF0F0D"/>
    <w:rsid w:val="00DF386B"/>
    <w:rsid w:val="00E24ECC"/>
    <w:rsid w:val="00ED12EC"/>
    <w:rsid w:val="00F14290"/>
    <w:rsid w:val="00F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ACA7"/>
  <w15:chartTrackingRefBased/>
  <w15:docId w15:val="{891D3B60-86F1-47A6-AE57-77208D89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C17870"/>
    <w:pPr>
      <w:tabs>
        <w:tab w:val="center" w:pos="4819"/>
        <w:tab w:val="right" w:pos="9071"/>
      </w:tabs>
    </w:pPr>
    <w:rPr>
      <w:rFonts w:ascii="Gothic PS" w:hAnsi="Gothic PS"/>
      <w:sz w:val="22"/>
      <w:szCs w:val="20"/>
    </w:rPr>
  </w:style>
  <w:style w:type="character" w:customStyle="1" w:styleId="FuzeileZchn">
    <w:name w:val="Fußzeile Zchn"/>
    <w:basedOn w:val="Absatz-Standardschriftart"/>
    <w:link w:val="Fuzeile"/>
    <w:rsid w:val="00C17870"/>
    <w:rPr>
      <w:rFonts w:ascii="Gothic PS" w:eastAsia="Times New Roman" w:hAnsi="Gothic PS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C17870"/>
    <w:pPr>
      <w:tabs>
        <w:tab w:val="center" w:pos="4819"/>
        <w:tab w:val="right" w:pos="9071"/>
      </w:tabs>
    </w:pPr>
    <w:rPr>
      <w:rFonts w:ascii="Gothic PS" w:hAnsi="Gothic PS"/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rsid w:val="00C17870"/>
    <w:rPr>
      <w:rFonts w:ascii="Gothic PS" w:eastAsia="Times New Roman" w:hAnsi="Gothic PS" w:cs="Times New Roman"/>
      <w:szCs w:val="20"/>
      <w:lang w:eastAsia="de-DE"/>
    </w:rPr>
  </w:style>
  <w:style w:type="character" w:styleId="Seitenzahl">
    <w:name w:val="page number"/>
    <w:basedOn w:val="Absatz-Standardschriftart"/>
    <w:rsid w:val="00C17870"/>
  </w:style>
  <w:style w:type="paragraph" w:styleId="Untertitel">
    <w:name w:val="Subtitle"/>
    <w:basedOn w:val="Standard"/>
    <w:link w:val="UntertitelZchn"/>
    <w:qFormat/>
    <w:rsid w:val="00C17870"/>
    <w:rPr>
      <w:rFonts w:ascii="Arial" w:hAnsi="Arial" w:cs="Arial"/>
      <w:b/>
      <w:bCs/>
      <w:sz w:val="22"/>
    </w:rPr>
  </w:style>
  <w:style w:type="character" w:customStyle="1" w:styleId="UntertitelZchn">
    <w:name w:val="Untertitel Zchn"/>
    <w:basedOn w:val="Absatz-Standardschriftart"/>
    <w:link w:val="Untertitel"/>
    <w:rsid w:val="00C17870"/>
    <w:rPr>
      <w:rFonts w:ascii="Arial" w:eastAsia="Times New Roman" w:hAnsi="Arial" w:cs="Arial"/>
      <w:b/>
      <w:bCs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4A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4A01"/>
    <w:rPr>
      <w:rFonts w:ascii="Segoe UI" w:eastAsia="Times New Roman" w:hAnsi="Segoe UI" w:cs="Segoe UI"/>
      <w:sz w:val="18"/>
      <w:szCs w:val="18"/>
      <w:lang w:eastAsia="de-DE"/>
    </w:rPr>
  </w:style>
  <w:style w:type="paragraph" w:styleId="Titel">
    <w:name w:val="Title"/>
    <w:basedOn w:val="Standard"/>
    <w:link w:val="TitelZchn"/>
    <w:qFormat/>
    <w:rsid w:val="0062083E"/>
    <w:pPr>
      <w:jc w:val="center"/>
    </w:pPr>
    <w:rPr>
      <w:rFonts w:ascii="Arial" w:hAnsi="Arial" w:cs="Arial"/>
      <w:b/>
      <w:bCs/>
      <w:sz w:val="22"/>
    </w:rPr>
  </w:style>
  <w:style w:type="character" w:customStyle="1" w:styleId="TitelZchn">
    <w:name w:val="Titel Zchn"/>
    <w:basedOn w:val="Absatz-Standardschriftart"/>
    <w:link w:val="Titel"/>
    <w:rsid w:val="0062083E"/>
    <w:rPr>
      <w:rFonts w:ascii="Arial" w:eastAsia="Times New Roman" w:hAnsi="Arial" w:cs="Arial"/>
      <w:b/>
      <w:bCs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Vlotho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Vlotho</dc:creator>
  <cp:keywords/>
  <dc:description/>
  <cp:lastModifiedBy>Schomburg, Elke (Stadt Vlotho)</cp:lastModifiedBy>
  <cp:revision>2</cp:revision>
  <cp:lastPrinted>2023-11-10T12:11:00Z</cp:lastPrinted>
  <dcterms:created xsi:type="dcterms:W3CDTF">2025-12-05T07:20:00Z</dcterms:created>
  <dcterms:modified xsi:type="dcterms:W3CDTF">2025-12-05T07:20:00Z</dcterms:modified>
</cp:coreProperties>
</file>